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  <w:r>
        <w:rPr>
          <w:color w:val="064ACF"/>
        </w:rPr>
        <w:t>RESURSCONTROL  /  RC.Drive  /  Беларусь</w:t>
      </w:r>
    </w:p>
    <w:p>
      <w:pPr>
        <w:pStyle w:val="Title"/>
      </w:pPr>
      <w:r>
        <w:t>RC.Drive для отдела продаж</w:t>
      </w:r>
    </w:p>
    <w:p>
      <w:r>
        <w:t>Рабочий комплект для продажи RC.Drive в Беларуси. Цель встречи — согласовать следующий проверяемый шаг: совместимость, расчёт или пилот. База и контакты потенциальных клиентов формируются отделом продаж самостоятельно.</w:t>
      </w:r>
    </w:p>
    <w:p>
      <w:pPr>
        <w:pStyle w:val="Heading2"/>
      </w:pPr>
      <w:r>
        <w:t>Предмет предложения</w:t>
      </w:r>
    </w:p>
    <w:p>
      <w:r>
        <w:t>RC.Drive оценивает экономичность вождения и помогает руководителю работать с отклонениями. Доступны рейтинги A–E, оценка 1–10, восемь параметров, сравнение, рекомендации и подбор водителей в сопоставимых группах. Совместимость проверяет технический специалист.</w:t>
      </w:r>
    </w:p>
    <w:p>
      <w:pPr>
        <w:pStyle w:val="Heading2"/>
      </w:pPr>
      <w:r>
        <w:t>Целевой клиент</w:t>
      </w:r>
    </w:p>
    <w:p>
      <w:r>
        <w:t>Магистральные перевозки, регулярный большой пробег, преимущественно парк от 10–15 ТС, ответственный за эксплуатацию. Приоритет — новые перевозчики РБ. Действующие клиенты полного мониторинга и пакета ГЛОНАСС — отдельные сценарии продажи.</w:t>
      </w:r>
    </w:p>
    <w:p>
      <w:pPr>
        <w:pStyle w:val="Heading2"/>
      </w:pPr>
      <w:r>
        <w:t>Что спросить при квалификации</w:t>
      </w:r>
    </w:p>
    <w:p>
      <w:r>
        <w:t>Количество ТС и модели; тип трекеров и мониторинга; доступные CAN-параметры и идентификация водителей; пробег и расход; маршруты и загрузка; текущая задача; кто влияет на решение; готовность применять рекомендации; срок решения.</w:t>
      </w:r>
    </w:p>
    <w:p>
      <w:pPr>
        <w:pStyle w:val="Heading2"/>
      </w:pPr>
      <w:r>
        <w:t>Выход квалификации</w:t>
      </w:r>
    </w:p>
    <w:p>
      <w:r>
        <w:t>Заполнены сведения о парке, определены ЛПР и технический контакт, назначен владелец следующего шага. Если данные непригодны, сначала обследование. Если нет человека для работы с рекомендациями, оценка эффекта преждевременна.</w:t>
      </w:r>
    </w:p>
    <w:p>
      <w:r>
        <w:br w:type="page"/>
      </w:r>
    </w:p>
    <w:p>
      <w:pPr>
        <w:spacing w:after="200"/>
      </w:pPr>
      <w:r>
        <w:rPr>
          <w:color w:val="064ACF"/>
        </w:rPr>
        <w:t>RESURSCONTROL  /  RC.Drive  /  Беларусь</w:t>
      </w:r>
    </w:p>
    <w:p>
      <w:pPr>
        <w:pStyle w:val="Title"/>
      </w:pPr>
      <w:r>
        <w:t>Сценарий встречи на 25 минут</w:t>
      </w:r>
    </w:p>
    <w:p>
      <w:r>
        <w:t>Встреча должна закончиться согласованным действием, ответственным и сроком. Не выдавать сценарную экономию за измеренный результат.</w:t>
      </w:r>
    </w:p>
    <w:p>
      <w:pPr>
        <w:pStyle w:val="Heading2"/>
      </w:pPr>
      <w:r>
        <w:t>0–5 минут — задача</w:t>
      </w:r>
    </w:p>
    <w:p>
      <w:r>
        <w:t>«Как вы сейчас разбираете разницу расхода между водителями? На каких машинах и маршрутах это особенно заметно?» Уточнить, что клиент уже делает и что хочет улучшить.</w:t>
      </w:r>
    </w:p>
    <w:p>
      <w:pPr>
        <w:pStyle w:val="Heading2"/>
      </w:pPr>
      <w:r>
        <w:t>5–10 минут — возможности</w:t>
      </w:r>
    </w:p>
    <w:p>
      <w:r>
        <w:t>Показать слайды 3–6: оценка, параметры и рабочий цикл. Объяснить отдельный кабинет на первом этапе. Для примеров отчёта использовать только обозначенные демонстрационные данные.</w:t>
      </w:r>
    </w:p>
    <w:p>
      <w:pPr>
        <w:pStyle w:val="Heading2"/>
      </w:pPr>
      <w:r>
        <w:t>10–18 минут — расчёт</w:t>
      </w:r>
    </w:p>
    <w:p>
      <w:r>
        <w:t>Открыть клиентскую страницу. Ввести значения клиента, указать расходы сопровождения и премии. Обсудить три сценария, постепенное подключение и случай отсутствия улучшений. Сохранить расчёт в PDF.</w:t>
      </w:r>
    </w:p>
    <w:p>
      <w:pPr>
        <w:pStyle w:val="Heading2"/>
      </w:pPr>
      <w:r>
        <w:t>18–22 минуты — проверка</w:t>
      </w:r>
    </w:p>
    <w:p>
      <w:r>
        <w:t>Уточнить совместимость, перечень пилотных машин и ответственного. Объяснить базовый период, применение рекомендаций и итоговую оценку. Стоимость пилота не обещать нулевой без согласования.</w:t>
      </w:r>
    </w:p>
    <w:p>
      <w:pPr>
        <w:pStyle w:val="Heading2"/>
      </w:pPr>
      <w:r>
        <w:t>22–25 минут — решение</w:t>
      </w:r>
    </w:p>
    <w:p>
      <w:r>
        <w:t>«Следующий шаг — техническая проверка / согласование расчёта / карточка пилота. Кто участвует и когда возвращаемся к обсуждению?» Зафиксировать ответ, материалы и срок в CRM.</w:t>
      </w:r>
    </w:p>
    <w:p>
      <w:r>
        <w:br w:type="page"/>
      </w:r>
    </w:p>
    <w:p>
      <w:pPr>
        <w:spacing w:after="200"/>
      </w:pPr>
      <w:r>
        <w:rPr>
          <w:color w:val="064ACF"/>
        </w:rPr>
        <w:t>RESURSCONTROL  /  RC.Drive  /  Беларусь</w:t>
      </w:r>
    </w:p>
    <w:p>
      <w:pPr>
        <w:pStyle w:val="Title"/>
      </w:pPr>
      <w:r>
        <w:t>Возражения и доказательства</w:t>
      </w:r>
    </w:p>
    <w:p>
      <w:r>
        <w:t>Ответ связывает вопрос клиента с проверяемым материалом или действием.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rPr>
          <w:tblHeader/>
        </w:trPr>
        <w:tc>
          <w:tcPr>
            <w:tcW w:type="dxa" w:w="2438"/>
            <w:vAlign w:val="center"/>
            <w:shd w:fill="00254D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/>
                <w:color w:val="FFFFFF"/>
                <w:sz w:val="18"/>
              </w:rPr>
              <w:t>Возражение</w:t>
            </w:r>
          </w:p>
        </w:tc>
        <w:tc>
          <w:tcPr>
            <w:tcW w:type="dxa" w:w="4422"/>
            <w:vAlign w:val="center"/>
            <w:shd w:fill="00254D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/>
                <w:color w:val="FFFFFF"/>
                <w:sz w:val="18"/>
              </w:rPr>
              <w:t>Ответ</w:t>
            </w:r>
          </w:p>
        </w:tc>
        <w:tc>
          <w:tcPr>
            <w:tcW w:type="dxa" w:w="2778"/>
            <w:vAlign w:val="center"/>
            <w:shd w:fill="00254D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/>
                <w:color w:val="FFFFFF"/>
                <w:sz w:val="18"/>
              </w:rPr>
              <w:t>Чем подтвердить</w:t>
            </w:r>
          </w:p>
        </w:tc>
      </w:tr>
      <w:tr>
        <w:tc>
          <w:tcPr>
            <w:tcW w:type="dxa" w:w="243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У нас уже есть мониторинг</w:t>
            </w:r>
          </w:p>
        </w:tc>
        <w:tc>
          <w:tcPr>
            <w:tcW w:type="dxa" w:w="4422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Проверим, доступны ли в нём оценка вождения и адресные рекомендации. RC.Drive рассматриваем как дополнительную возможность, без повторного включения оплаченных услуг в расчёт.</w:t>
            </w:r>
          </w:p>
        </w:tc>
        <w:tc>
          <w:tcPr>
            <w:tcW w:type="dxa" w:w="277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Демонстрация отличий и проверка потока данных.</w:t>
            </w:r>
          </w:p>
        </w:tc>
      </w:tr>
      <w:tr>
        <w:tc>
          <w:tcPr>
            <w:tcW w:type="dxa" w:w="2438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Нужно менять оператора и трекеры?</w:t>
            </w:r>
          </w:p>
        </w:tc>
        <w:tc>
          <w:tcPr>
            <w:tcW w:type="dxa" w:w="4422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Сначала проверим совместимость. При пригодных данных новый трекер не нужен; варианты модернизации показываем до решения. На старте возможен отдельный кабинет.</w:t>
            </w:r>
          </w:p>
        </w:tc>
        <w:tc>
          <w:tcPr>
            <w:tcW w:type="dxa" w:w="2778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Заключение технического специалиста.</w:t>
            </w:r>
          </w:p>
        </w:tc>
      </w:tr>
      <w:tr>
        <w:tc>
          <w:tcPr>
            <w:tcW w:type="dxa" w:w="243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Вы обещаете 15% экономии?</w:t>
            </w:r>
          </w:p>
        </w:tc>
        <w:tc>
          <w:tcPr>
            <w:tcW w:type="dxa" w:w="4422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Фиксированного процента для каждого парка нет. Считаем снижение в л/100 км от вашей базы и проверяем результат в пилоте.</w:t>
            </w:r>
          </w:p>
        </w:tc>
        <w:tc>
          <w:tcPr>
            <w:tcW w:type="dxa" w:w="277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Калькулятор и методика пилота.</w:t>
            </w:r>
          </w:p>
        </w:tc>
      </w:tr>
      <w:tr>
        <w:tc>
          <w:tcPr>
            <w:tcW w:type="dxa" w:w="2438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Водители будут против</w:t>
            </w:r>
          </w:p>
        </w:tc>
        <w:tc>
          <w:tcPr>
            <w:tcW w:type="dxa" w:w="4422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Предлагаем понятные критерии, сопоставимые поездки и обратную связь. Рейтинг — повод для разбора, а не автоматическое основание для наказания.</w:t>
            </w:r>
          </w:p>
        </w:tc>
        <w:tc>
          <w:tcPr>
            <w:tcW w:type="dxa" w:w="2778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Памятка водителю и правила сравнения.</w:t>
            </w:r>
          </w:p>
        </w:tc>
      </w:tr>
    </w:tbl>
    <w:p>
      <w:r>
        <w:br w:type="page"/>
      </w:r>
    </w:p>
    <w:p>
      <w:pPr>
        <w:spacing w:after="200"/>
      </w:pPr>
      <w:r>
        <w:rPr>
          <w:color w:val="064ACF"/>
        </w:rPr>
        <w:t>RESURSCONTROL  /  RC.Drive  /  Беларусь</w:t>
      </w:r>
    </w:p>
    <w:p>
      <w:pPr>
        <w:pStyle w:val="Title"/>
      </w:pPr>
      <w:r>
        <w:t>Коммерческие вопросы</w:t>
      </w:r>
    </w:p>
    <w:p>
      <w:r>
        <w:t>Цена и ограничения предложения объясняются до согласования пилота.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rPr>
          <w:tblHeader/>
        </w:trPr>
        <w:tc>
          <w:tcPr>
            <w:tcW w:type="dxa" w:w="2438"/>
            <w:vAlign w:val="center"/>
            <w:shd w:fill="00254D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/>
                <w:color w:val="FFFFFF"/>
                <w:sz w:val="18"/>
              </w:rPr>
              <w:t>Вопрос</w:t>
            </w:r>
          </w:p>
        </w:tc>
        <w:tc>
          <w:tcPr>
            <w:tcW w:type="dxa" w:w="4422"/>
            <w:vAlign w:val="center"/>
            <w:shd w:fill="00254D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/>
                <w:color w:val="FFFFFF"/>
                <w:sz w:val="18"/>
              </w:rPr>
              <w:t>Ответ</w:t>
            </w:r>
          </w:p>
        </w:tc>
        <w:tc>
          <w:tcPr>
            <w:tcW w:type="dxa" w:w="2778"/>
            <w:vAlign w:val="center"/>
            <w:shd w:fill="00254D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/>
                <w:color w:val="FFFFFF"/>
                <w:sz w:val="18"/>
              </w:rPr>
              <w:t>Следующий шаг</w:t>
            </w:r>
          </w:p>
        </w:tc>
      </w:tr>
      <w:tr>
        <w:tc>
          <w:tcPr>
            <w:tcW w:type="dxa" w:w="243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Большому парку нужны особые условия</w:t>
            </w:r>
          </w:p>
        </w:tc>
        <w:tc>
          <w:tcPr>
            <w:tcW w:type="dxa" w:w="4422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Есть проект «Парк 50+»: скидка на подключение с ограничением по количеству машин. Рассчитаем и согласуем условия в КП.</w:t>
            </w:r>
          </w:p>
        </w:tc>
        <w:tc>
          <w:tcPr>
            <w:tcW w:type="dxa" w:w="277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Проект офера и расчёт внутренней экономики.</w:t>
            </w:r>
          </w:p>
        </w:tc>
      </w:tr>
      <w:tr>
        <w:tc>
          <w:tcPr>
            <w:tcW w:type="dxa" w:w="2438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Это чужая разработка?</w:t>
            </w:r>
          </w:p>
        </w:tc>
        <w:tc>
          <w:tcPr>
            <w:tcW w:type="dxa" w:w="4422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RC.Drive — решение под брендом RESURSCONTROL с технологической основой партнёра. Мы отвечаем за согласованный состав внедрения и сопровождения. Не заявляем авторство исходного ПО.</w:t>
            </w:r>
          </w:p>
        </w:tc>
        <w:tc>
          <w:tcPr>
            <w:tcW w:type="dxa" w:w="2778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Состав работ и ответственность в КП/договоре.</w:t>
            </w:r>
          </w:p>
        </w:tc>
      </w:tr>
      <w:tr>
        <w:tc>
          <w:tcPr>
            <w:tcW w:type="dxa" w:w="243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Нет времени внедрять ещё одну систему</w:t>
            </w:r>
          </w:p>
        </w:tc>
        <w:tc>
          <w:tcPr>
            <w:tcW w:type="dxa" w:w="4422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Начнём с ограниченной группы машин и одного ответственного. До старта определим частоту разбора и необходимые трудозатраты.</w:t>
            </w:r>
          </w:p>
        </w:tc>
        <w:tc>
          <w:tcPr>
            <w:tcW w:type="dxa" w:w="277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Календарь пилота и ответственные.</w:t>
            </w:r>
          </w:p>
        </w:tc>
      </w:tr>
      <w:tr>
        <w:tc>
          <w:tcPr>
            <w:tcW w:type="dxa" w:w="2438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Покажите реальные результаты</w:t>
            </w:r>
          </w:p>
        </w:tc>
        <w:tc>
          <w:tcPr>
            <w:tcW w:type="dxa" w:w="4422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Покажем доступный согласованный кейс RC.Drive, когда появятся данные. Сейчас можно изучить возможности и сценарный расчёт, затем проверить результат на своём парке.</w:t>
            </w:r>
          </w:p>
        </w:tc>
        <w:tc>
          <w:tcPr>
            <w:tcW w:type="dxa" w:w="2778"/>
            <w:vAlign w:val="center"/>
            <w:shd w:fill="EDF3F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20" w:before="120"/>
            </w:pPr>
            <w:r>
              <w:rPr>
                <w:b w:val="0"/>
                <w:color w:val="00254D"/>
                <w:sz w:val="18"/>
              </w:rPr>
              <w:t>Не заменять собственный кейс чужими цифрами.</w:t>
            </w:r>
          </w:p>
        </w:tc>
      </w:tr>
    </w:tbl>
    <w:p>
      <w:r>
        <w:br w:type="page"/>
      </w:r>
    </w:p>
    <w:p>
      <w:pPr>
        <w:spacing w:after="200"/>
      </w:pPr>
      <w:r>
        <w:rPr>
          <w:color w:val="064ACF"/>
        </w:rPr>
        <w:t>RESURSCONTROL  /  RC.Drive  /  Беларусь</w:t>
      </w:r>
    </w:p>
    <w:p>
      <w:pPr>
        <w:pStyle w:val="Title"/>
      </w:pPr>
      <w:r>
        <w:t>Касания новым клиентам</w:t>
      </w:r>
    </w:p>
    <w:p>
      <w:r>
        <w:t>Отсчёт от первого контакта. Даты — рабочая рекомендация; ответ клиента меняет последовательность. Не продолжать рассылку после отказа. Сообщения отправляет менеджер.</w:t>
      </w:r>
    </w:p>
    <w:p>
      <w:pPr>
        <w:pStyle w:val="Heading2"/>
      </w:pPr>
      <w:r>
        <w:t>День 0 · Первый контакт</w:t>
      </w:r>
    </w:p>
    <w:p>
      <w:r>
        <w:t>Здравствуйте! RESURSCONTROL предлагает RC.Drive — оценку экономичности вождения для автопарка. Можно начать с проверки совместимости и расчёта на ваших значениях. Подскажите, кто отвечает за эксплуатацию и расход топлива? Одностраничник; цель — контакт с ответственным.</w:t>
      </w:r>
    </w:p>
    <w:p>
      <w:pPr>
        <w:pStyle w:val="Heading2"/>
      </w:pPr>
      <w:r>
        <w:t>День 2 · После интереса</w:t>
      </w:r>
    </w:p>
    <w:p>
      <w:r>
        <w:t>Направляю презентацию RC.Drive. Для оценки подключения нужны модели машин, тип трекеров и средний пробег. Сможем разобрать эти данные на короткой встрече? Презентация; цель — квалифицированная встреча.</w:t>
      </w:r>
    </w:p>
    <w:p>
      <w:pPr>
        <w:pStyle w:val="Heading2"/>
      </w:pPr>
      <w:r>
        <w:t>День 5 · После встречи</w:t>
      </w:r>
    </w:p>
    <w:p>
      <w:r>
        <w:t>Подготовим расчёт по согласованным параметрам. В нём будут видны все дополнительные расходы и несколько сценариев изменения расхода. Уточним цену топлива и стоимость текущих услуг, чтобы не посчитать их повторно. Калькулятор; цель — согласованные исходные значения.</w:t>
      </w:r>
    </w:p>
    <w:p>
      <w:pPr>
        <w:pStyle w:val="Heading2"/>
      </w:pPr>
      <w:r>
        <w:t>День 9 · Предложение пилота</w:t>
      </w:r>
    </w:p>
    <w:p>
      <w:r>
        <w:t>Предлагаю зафиксировать состав пилота: машины, ответственного и критерии результата. Срок и стоимость согласуем до запуска. По итогам будет понятно, есть ли основание расширять подключение. Карточка пилота; цель — решение о пилоте.</w:t>
      </w:r>
    </w:p>
    <w:p>
      <w:pPr>
        <w:pStyle w:val="Heading2"/>
      </w:pPr>
      <w:r>
        <w:t>День 14 · Закрывающее касание</w:t>
      </w:r>
    </w:p>
    <w:p>
      <w:r>
        <w:t>Возвращаюсь к обсуждению RC.Drive. Сейчас для решения важнее уточнить совместимость, проверить расчёт или согласовать пилот? Если проект отложен, зафиксируем подходящий срок возвращения. Релевантный материал; цель — следующий шаг или причина паузы.</w:t>
      </w:r>
    </w:p>
    <w:p>
      <w:r>
        <w:br w:type="page"/>
      </w:r>
    </w:p>
    <w:p>
      <w:pPr>
        <w:spacing w:after="200"/>
      </w:pPr>
      <w:r>
        <w:rPr>
          <w:color w:val="064ACF"/>
        </w:rPr>
        <w:t>RESURSCONTROL  /  RC.Drive  /  Беларусь</w:t>
      </w:r>
    </w:p>
    <w:p>
      <w:pPr>
        <w:pStyle w:val="Title"/>
      </w:pPr>
      <w:r>
        <w:t>Касания действующим клиентам</w:t>
      </w:r>
    </w:p>
    <w:p>
      <w:r>
        <w:t>Отделять услуги RC.Drive от действующего мониторинга. Не обещать совместимость до проверки.</w:t>
      </w:r>
    </w:p>
    <w:p>
      <w:pPr>
        <w:pStyle w:val="Heading2"/>
      </w:pPr>
      <w:r>
        <w:t>День 0 · Актуальность</w:t>
      </w:r>
    </w:p>
    <w:p>
      <w:r>
        <w:t>Предлагаем проверить, можно ли дополнить ваш мониторинг аналитикой экономичности вождения RC.Drive. Начнём с подходящих машин и доступных данных. Цель — подтвердить задачу клиента.</w:t>
      </w:r>
    </w:p>
    <w:p>
      <w:pPr>
        <w:pStyle w:val="Heading2"/>
      </w:pPr>
      <w:r>
        <w:t>День 3 · Совместимость</w:t>
      </w:r>
    </w:p>
    <w:p>
      <w:r>
        <w:t>Подготовим перечень совместимых машин и недостающих данных. Если нужен новый трекер, покажем это отдельно до расчёта. Какие машины чаще работают на дальних маршрутах? Цель — перечень для технической проверки.</w:t>
      </w:r>
    </w:p>
    <w:p>
      <w:pPr>
        <w:pStyle w:val="Heading2"/>
      </w:pPr>
      <w:r>
        <w:t>День 6 · Дополнительная экономика</w:t>
      </w:r>
    </w:p>
    <w:p>
      <w:r>
        <w:t>В расчёте RC.Drive учтём только дополнительные затраты к действующим услугам. Подтвердим пробег, расход и цену топлива. После этого обсудим несколько сценариев эффекта. Цель — согласованный расчёт.</w:t>
      </w:r>
    </w:p>
    <w:p>
      <w:pPr>
        <w:pStyle w:val="Heading2"/>
      </w:pPr>
      <w:r>
        <w:t>День 10 · Пилот</w:t>
      </w:r>
    </w:p>
    <w:p>
      <w:r>
        <w:t>Предлагаем согласовать ограниченный пилот и ответственного за рекомендации водителям. По его результатам примем решение о расширении. Условия и стоимость зафиксируем заранее. Цель — согласование пилота.</w:t>
      </w:r>
    </w:p>
    <w:p>
      <w:pPr>
        <w:pStyle w:val="Heading2"/>
      </w:pPr>
      <w:r>
        <w:t>День 15 · Решение</w:t>
      </w:r>
    </w:p>
    <w:p>
      <w:r>
        <w:t>Подведём итог: совместимость, сценарий экономики и условия запуска. Что осталось уточнить для решения? Если момент неподходящий, согласуем срок повторного обсуждения. Цель — решение или обоснованная пауза.</w:t>
      </w:r>
    </w:p>
    <w:p>
      <w:r>
        <w:br w:type="page"/>
      </w:r>
    </w:p>
    <w:p>
      <w:pPr>
        <w:spacing w:after="200"/>
      </w:pPr>
      <w:r>
        <w:rPr>
          <w:color w:val="064ACF"/>
        </w:rPr>
        <w:t>RESURSCONTROL  /  RC.Drive  /  Беларусь</w:t>
      </w:r>
    </w:p>
    <w:p>
      <w:pPr>
        <w:pStyle w:val="Title"/>
      </w:pPr>
      <w:r>
        <w:t>Шаблон коммерческого предложения</w:t>
      </w:r>
    </w:p>
    <w:p>
      <w:r>
        <w:t>Заполняется менеджером после технической проверки. Все суммы — BYN, без НДС. Налоговые условия и состав действующих услуг сверяются перед отправкой.</w:t>
      </w:r>
    </w:p>
    <w:p>
      <w:pPr>
        <w:pStyle w:val="Heading2"/>
      </w:pPr>
      <w:r>
        <w:t>Задача и состав</w:t>
      </w:r>
    </w:p>
    <w:p>
      <w:r>
        <w:t>Клиент: ____________________. Целевые машины: ____________________. Текущий мониторинг: ____________________. Задача: ____________________. Подтверждённая совместимость: ____________________.</w:t>
      </w:r>
    </w:p>
    <w:p>
      <w:pPr>
        <w:pStyle w:val="Heading2"/>
      </w:pPr>
      <w:r>
        <w:t>Стоимость</w:t>
      </w:r>
    </w:p>
    <w:p>
      <w:r>
        <w:t>RC.Drive: ___ ТС × 22 BYN/мес = ___ BYN/мес. RC Basic CAN: ___ × 370. RC PRO: ___ × 490. Подключение: ___ × 136,90. ДУТ: ___ × 313,50. Монтаж ДУТ: ___ × 146,90. Дополнительный мониторинг/работы: ___. Разовые затраты: ___. НДС и сумма к оплате: ___.</w:t>
      </w:r>
    </w:p>
    <w:p>
      <w:pPr>
        <w:pStyle w:val="Heading2"/>
      </w:pPr>
      <w:r>
        <w:t>Спецусловия</w:t>
      </w:r>
    </w:p>
    <w:p>
      <w:r>
        <w:t>Программа «Парк 50+»: да / нет. Согласовал: ___. Количество участвующих ТС: ___. Скидка: ___. Срок договора: ___. Срок действия этого КП: ___. Скидки не суммируются. Условия досрочного прекращения определяются договором.</w:t>
      </w:r>
    </w:p>
    <w:p>
      <w:pPr>
        <w:pStyle w:val="Heading2"/>
      </w:pPr>
      <w:r>
        <w:t>Результат и ответственность</w:t>
      </w:r>
    </w:p>
    <w:p>
      <w:r>
        <w:t>Пилот: состав ___, период ___, стоимость ___, ответственный клиента ___, RESURSCONTROL ___. Критерии результата ___. Сопровождение и обучение: состав ___, периодичность ___, цена ___. Расчёт экономии прилагается как сценарий, не гарантия.</w:t>
      </w:r>
    </w:p>
    <w:p>
      <w:pPr>
        <w:pStyle w:val="Heading2"/>
      </w:pPr>
      <w:r>
        <w:t>Следующий шаг</w:t>
      </w:r>
    </w:p>
    <w:p>
      <w:r>
        <w:t>Согласовать состав и техническое подключение до ___. Контакты менеджера ___. Подтверждение клиента ___.</w:t>
      </w:r>
    </w:p>
    <w:p>
      <w:r>
        <w:br w:type="page"/>
      </w:r>
    </w:p>
    <w:p>
      <w:pPr>
        <w:spacing w:after="200"/>
      </w:pPr>
      <w:r>
        <w:rPr>
          <w:color w:val="064ACF"/>
        </w:rPr>
        <w:t>RESURSCONTROL  /  RC.Drive  /  Беларусь</w:t>
      </w:r>
    </w:p>
    <w:p>
      <w:pPr>
        <w:pStyle w:val="Title"/>
      </w:pPr>
      <w:r>
        <w:t>Офер Парк 50+ для согласования</w:t>
      </w:r>
    </w:p>
    <w:p>
      <w:r>
        <w:t>Рекомендуемый офер снижает разовый платёж и сохраняет абонплату 22 BYN. Это проект условий, не утверждённая акция.</w:t>
      </w:r>
    </w:p>
    <w:p>
      <w:pPr>
        <w:pStyle w:val="Heading2"/>
      </w:pPr>
      <w:r>
        <w:t>Точные условия</w:t>
      </w:r>
    </w:p>
    <w:p>
      <w:r>
        <w:t>Парк от 50 ТС. Договор от 12 месяцев. Скидка 50% на стандартное подключение первых 100 ТС в рамках одного договора: до 68,45 BYN за ТС. Оборудование, ДУТ и монтаж ДУТ оплачиваются отдельно. С другими скидками не суммируется. Срок развёртывания фиксируется в КП.</w:t>
      </w:r>
    </w:p>
    <w:p>
      <w:pPr>
        <w:pStyle w:val="Heading2"/>
      </w:pPr>
      <w:r>
        <w:t>Выгода клиента</w:t>
      </w:r>
    </w:p>
    <w:p>
      <w:r>
        <w:t>50 машин: скидка 3 422,50 BYN, подключение вместо 6 845,00 стоит 3 422,50 BYN. 100 машин: скидка 6 845,00 BYN, подключение стоит 6 845,00 BYN. 150 машин: скидка ограничена 6 845,00 BYN. Абонплата начисляется на подключённые машины.</w:t>
      </w:r>
    </w:p>
    <w:p>
      <w:pPr>
        <w:pStyle w:val="Heading2"/>
      </w:pPr>
      <w:r>
        <w:t>Почему ограниченная скидка</w:t>
      </w:r>
    </w:p>
    <w:p>
      <w:r>
        <w:t>Безлимитное бесплатное оборудование создаёт затраты до проверки возврата. Скидка на подключение понятна клиенту, ограничена по сумме и поддаётся проверке в модели экономики. Альтернатива для переговоров — индивидуальное поэтапное подключение без скидки.</w:t>
      </w:r>
    </w:p>
    <w:p>
      <w:pPr>
        <w:pStyle w:val="Heading2"/>
      </w:pPr>
      <w:r>
        <w:t>Условие утверждения</w:t>
      </w:r>
    </w:p>
    <w:p>
      <w:r>
        <w:t>Заполнить закупочный курс/ставку, прямую себестоимость подключения, стоимость работ и привлечения. Проверить положительный вклад за 12 месяцев и срок возврата затрат. Минимальный резерв маржи задаёт руководство. До этого цифровые условия не объявлять действующей акцией.</w:t>
      </w:r>
    </w:p>
    <w:p>
      <w:r>
        <w:br w:type="page"/>
      </w:r>
    </w:p>
    <w:p>
      <w:pPr>
        <w:spacing w:after="200"/>
      </w:pPr>
      <w:r>
        <w:rPr>
          <w:color w:val="064ACF"/>
        </w:rPr>
        <w:t>RESURSCONTROL  /  RC.Drive  /  Беларусь</w:t>
      </w:r>
    </w:p>
    <w:p>
      <w:pPr>
        <w:pStyle w:val="Title"/>
      </w:pPr>
      <w:r>
        <w:t>Экономика дилерской продажи</w:t>
      </w:r>
    </w:p>
    <w:p>
      <w:r>
        <w:t>Клиентская окупаемость и доход RESURSCONTROL — разные расчёты. Внутренняя таблица не передаётся клиенту.</w:t>
      </w:r>
    </w:p>
    <w:p>
      <w:pPr>
        <w:pStyle w:val="Heading2"/>
      </w:pPr>
      <w:r>
        <w:t>Что известно</w:t>
      </w:r>
    </w:p>
    <w:p>
      <w:r>
        <w:t>Цена клиенту: 22 BYN за ТС в месяц. Во встрече названа закупочная ставка 250 RUB. Договор и курс расчётов для поставки в РБ не представлены. Не считать 250 RUB белорусской стоимостью и не переносить соотношение 250/700 на тариф 22 BYN.</w:t>
      </w:r>
    </w:p>
    <w:p>
      <w:pPr>
        <w:pStyle w:val="Heading2"/>
      </w:pPr>
      <w:r>
        <w:t>Что вводится в модель</w:t>
      </w:r>
    </w:p>
    <w:p>
      <w:r>
        <w:t>Курс BYN за 1 RUB либо договорная ставка BYN; поддержка на ТС; аналитика на клиента; привлечение; прямая себестоимость подключения; стоимость оборудования и других работ; подключение по месяцам. Все поля себестоимости заполняет финансовый ответственный.</w:t>
      </w:r>
    </w:p>
    <w:p>
      <w:pPr>
        <w:pStyle w:val="Heading2"/>
      </w:pPr>
      <w:r>
        <w:t>Что показывает модель</w:t>
      </w:r>
    </w:p>
    <w:p>
      <w:r>
        <w:t>Повторяющийся вклад, разовый вклад, скидка, накопленный поток за 12 месяцев и месяц возврата стартовых затрат. Отдельный сценарий оборудования: продажи и себестоимость задаются суммами по парку. Не включать оборот по оборудованию в прибыль без себестоимости.</w:t>
      </w:r>
    </w:p>
    <w:p>
      <w:pPr>
        <w:pStyle w:val="Heading2"/>
      </w:pPr>
      <w:r>
        <w:t>Ограничение решения</w:t>
      </w:r>
    </w:p>
    <w:p>
      <w:r>
        <w:t>Пока обязательные входы не заполнены, модель показывает «Нужны данные», а не нулевую себестоимость. Устойчивость офера проверить при более высоком курсе, снижении числа машин и росте нагрузки на поддержку.</w:t>
      </w:r>
    </w:p>
    <w:p>
      <w:r>
        <w:br w:type="page"/>
      </w:r>
    </w:p>
    <w:p>
      <w:pPr>
        <w:spacing w:after="200"/>
      </w:pPr>
      <w:r>
        <w:rPr>
          <w:color w:val="064ACF"/>
        </w:rPr>
        <w:t>RESURSCONTROL  /  RC.Drive  /  Беларусь</w:t>
      </w:r>
    </w:p>
    <w:p>
      <w:pPr>
        <w:pStyle w:val="Title"/>
      </w:pPr>
      <w:r>
        <w:t>Запуск и измерение результата</w:t>
      </w:r>
    </w:p>
    <w:p>
      <w:r>
        <w:t>Кампания рассчитана на восемь недель после готовности пакета. Подготовка списка компаний, контактов и ведение сделок — ответственность отдела продаж.</w:t>
      </w:r>
    </w:p>
    <w:p>
      <w:pPr>
        <w:pStyle w:val="Heading2"/>
      </w:pPr>
      <w:r>
        <w:t>Последовательность</w:t>
      </w:r>
    </w:p>
    <w:p>
      <w:r>
        <w:t>Недели 1–2: квалификация и проверка совместимости. Недели 3–4: встречи, расчёты и согласование пилотов. Недели 5–6: применение рекомендаций и ответы на возражения. Недели 7–8: первые разборы и решения; незавершённые пилоты продолжаются по данным.</w:t>
      </w:r>
    </w:p>
    <w:p>
      <w:pPr>
        <w:pStyle w:val="Heading2"/>
      </w:pPr>
      <w:r>
        <w:t>Ответственные</w:t>
      </w:r>
    </w:p>
    <w:p>
      <w:r>
        <w:t>Владелец продукта утверждает состав и офер. Продажи квалифицируют и ведут сделки. Технический специалист проверяет данные. Аналитик ведёт пилот. Финансовый ответственный проверяет маржу. Маркетинг готовит и размещает контент.</w:t>
      </w:r>
    </w:p>
    <w:p>
      <w:pPr>
        <w:pStyle w:val="Heading2"/>
      </w:pPr>
      <w:r>
        <w:t>Метрики в CRM</w:t>
      </w:r>
    </w:p>
    <w:p>
      <w:r>
        <w:t>Дата квалифицированной встречи; сегмент; группа A/B; материалы и даты касаний; расчёт; согласованный пилот; КП; платное подключение; число ТС; сумма и вклад; причина отказа; следующий шаг. Не записывать демонстрационные цифры как факт.</w:t>
      </w:r>
    </w:p>
    <w:p>
      <w:pPr>
        <w:pStyle w:val="Heading2"/>
      </w:pPr>
      <w:r>
        <w:t>Проверка гипотезы</w:t>
      </w:r>
    </w:p>
    <w:p>
      <w:r>
        <w:t>Сопоставимые группы A: презентация; B: презентация + калькулятор + содержательные касания. Сохранять сопоставимыми цену, количество попыток контакта и скорость ответа. Измерять цикл до оплаты, конверсию и вклад. 20% сокращения — предлагаемый ориентир, не обещание. Размер выборки определить по исходной воронке.</w:t>
      </w:r>
    </w:p>
    <w:p>
      <w:pPr>
        <w:pStyle w:val="Heading2"/>
      </w:pPr>
      <w:r>
        <w:t>Публикация</w:t>
      </w:r>
    </w:p>
    <w:p>
      <w:r>
        <w:t>Сначала согласование текстов, тарифов и офера. Затем размещение HTML и проверка контактов. Локальный пакет не отправляет заявки автоматически. Автопубликации, массовые рассылки и интеграция с CRM не включены.</w:t>
      </w:r>
    </w:p>
    <w:sectPr w:rsidR="00FC693F" w:rsidRPr="0006063C" w:rsidSect="00034616">
      <w:footerReference w:type="default" r:id="rId9"/>
      <w:pgSz w:w="12240" w:h="15840"/>
      <w:pgMar w:top="907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 xml:space="preserve">RC.Drive · Для отдела продаж ·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69" w:lineRule="auto"/>
    </w:pPr>
    <w:rPr>
      <w:rFonts w:ascii="Rubik" w:hAnsi="Rubik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Rubik" w:hAnsi="Rubik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Rubik" w:hAnsi="Rubik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Rubik" w:hAnsi="Rubik"/>
      <w:b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RC.Drive RCDrive-sales.docx</dc:title>
  <dc:subject/>
  <dc:creator>RESURSCONTROL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